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bCs w:val="0"/>
          <w:kern w:val="0"/>
          <w:sz w:val="36"/>
          <w:szCs w:val="36"/>
        </w:rPr>
      </w:pPr>
      <w:r>
        <w:rPr>
          <w:rFonts w:hint="eastAsia" w:ascii="微软雅黑" w:hAnsi="微软雅黑" w:eastAsia="微软雅黑" w:cs="微软雅黑"/>
          <w:b/>
          <w:bCs w:val="0"/>
          <w:i w:val="0"/>
          <w:caps w:val="0"/>
          <w:color w:val="333333"/>
          <w:spacing w:val="0"/>
          <w:sz w:val="36"/>
          <w:szCs w:val="36"/>
          <w:shd w:val="clear" w:fill="FFFFFF"/>
        </w:rPr>
        <w:t>GX系列工业级工频UPS电源1-300KVA，三进三出</w:t>
      </w:r>
    </w:p>
    <w:p>
      <w:pPr>
        <w:rPr>
          <w:rFonts w:ascii="黑体" w:hAnsi="黑体" w:eastAsia="黑体"/>
          <w:kern w:val="0"/>
          <w:sz w:val="32"/>
          <w:szCs w:val="32"/>
        </w:rPr>
      </w:pPr>
      <w:r>
        <w:rPr>
          <w:rFonts w:hint="eastAsia"/>
        </w:rPr>
        <w:drawing>
          <wp:inline distT="0" distB="0" distL="0" distR="0">
            <wp:extent cx="2766060" cy="2766060"/>
            <wp:effectExtent l="0" t="0" r="15240" b="15240"/>
            <wp:docPr id="1" name="图片 1" descr="C:\Users\PM\Desktop\ABUIABACGAAguZyW_wUojsL52QYwoAY4oAY.jpgABUIABACGAAguZyW_wUojsL52QYwoAY4o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PM\Desktop\ABUIABACGAAguZyW_wUojsL52QYwoAY4oAY.jpgABUIABACGAAguZyW_wUojsL52QYwoAY4oAY"/>
                    <pic:cNvPicPr>
                      <a:picLocks noChangeAspect="1" noChangeArrowheads="1"/>
                    </pic:cNvPicPr>
                  </pic:nvPicPr>
                  <pic:blipFill>
                    <a:blip r:embed="rId5"/>
                    <a:srcRect/>
                    <a:stretch>
                      <a:fillRect/>
                    </a:stretch>
                  </pic:blipFill>
                  <pic:spPr>
                    <a:xfrm>
                      <a:off x="0" y="0"/>
                      <a:ext cx="2766060" cy="2768085"/>
                    </a:xfrm>
                    <a:prstGeom prst="rect">
                      <a:avLst/>
                    </a:prstGeom>
                    <a:noFill/>
                    <a:ln>
                      <a:noFill/>
                    </a:ln>
                  </pic:spPr>
                </pic:pic>
              </a:graphicData>
            </a:graphic>
          </wp:inline>
        </w:drawing>
      </w:r>
    </w:p>
    <w:p>
      <w:pPr>
        <w:rPr>
          <w:rFonts w:ascii="黑体" w:hAnsi="黑体" w:eastAsia="黑体"/>
          <w:kern w:val="0"/>
          <w:sz w:val="32"/>
          <w:szCs w:val="32"/>
        </w:rPr>
      </w:pPr>
    </w:p>
    <w:p>
      <w:pPr>
        <w:rPr>
          <w:rFonts w:ascii="黑体" w:hAnsi="黑体" w:eastAsia="黑体"/>
          <w:kern w:val="0"/>
          <w:sz w:val="32"/>
          <w:szCs w:val="32"/>
        </w:rPr>
      </w:pPr>
      <w:r>
        <w:rPr>
          <w:rFonts w:hint="eastAsia" w:ascii="黑体" w:hAnsi="黑体" w:eastAsia="黑体"/>
          <w:kern w:val="0"/>
          <w:sz w:val="32"/>
          <w:szCs w:val="32"/>
        </w:rPr>
        <w:t>产品简介</w:t>
      </w:r>
    </w:p>
    <w:p>
      <w:pPr>
        <w:widowControl/>
        <w:ind w:firstLine="360" w:firstLineChars="200"/>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GX</w:t>
      </w:r>
      <w:r>
        <w:rPr>
          <w:rFonts w:hint="eastAsia" w:ascii="宋体" w:hAnsi="宋体" w:cs="宋体"/>
          <w:kern w:val="0"/>
          <w:sz w:val="18"/>
          <w:szCs w:val="18"/>
        </w:rPr>
        <w:t>系列</w:t>
      </w:r>
      <w:r>
        <w:rPr>
          <w:rFonts w:hint="eastAsia" w:ascii="宋体" w:hAnsi="宋体" w:cs="宋体"/>
          <w:kern w:val="0"/>
          <w:sz w:val="18"/>
          <w:szCs w:val="18"/>
          <w:lang w:val="en-US" w:eastAsia="zh-CN"/>
        </w:rPr>
        <w:t>工业级工频UPS中大功率三进三处工频双变换在线智能全数字化UPS，是集数字化、信息化、网络化为一体的正弦波在线式高智能不间断电源产品</w:t>
      </w:r>
      <w:r>
        <w:rPr>
          <w:rFonts w:hint="eastAsia" w:ascii="宋体" w:hAnsi="宋体" w:cs="宋体"/>
          <w:kern w:val="0"/>
          <w:sz w:val="20"/>
          <w:szCs w:val="20"/>
        </w:rPr>
        <w:t>。</w:t>
      </w:r>
      <w:r>
        <w:rPr>
          <w:rFonts w:hint="eastAsia" w:ascii="宋体" w:hAnsi="宋体" w:cs="宋体"/>
          <w:kern w:val="0"/>
          <w:sz w:val="20"/>
          <w:szCs w:val="20"/>
          <w:lang w:val="en-US" w:eastAsia="zh-CN"/>
        </w:rPr>
        <w:t>具有强大的信息采集兄、信号处理系统和完善的保护系统，广泛用于各种用电环境具有良好的个性化设计、友好的个人对话功能、以先进的全数字技术、保护计算机、通讯一起、电机设施、医疗等用电设备的使用安全、全面解决断电、电压起伏/突变、频率变化、电子噪声、雷击等各种电力问题。</w:t>
      </w:r>
    </w:p>
    <w:p>
      <w:pPr>
        <w:widowControl/>
        <w:jc w:val="left"/>
        <w:rPr>
          <w:rFonts w:ascii="黑体" w:hAnsi="黑体" w:eastAsia="黑体" w:cs="宋体"/>
          <w:bCs/>
          <w:kern w:val="0"/>
          <w:szCs w:val="21"/>
        </w:rPr>
      </w:pPr>
    </w:p>
    <w:p>
      <w:pPr>
        <w:rPr>
          <w:rFonts w:ascii="黑体" w:hAnsi="黑体" w:eastAsia="黑体"/>
          <w:kern w:val="0"/>
          <w:sz w:val="32"/>
          <w:szCs w:val="32"/>
        </w:rPr>
      </w:pPr>
      <w:r>
        <w:rPr>
          <w:rFonts w:hint="eastAsia" w:ascii="黑体" w:hAnsi="黑体" w:eastAsia="黑体"/>
          <w:kern w:val="0"/>
          <w:sz w:val="32"/>
          <w:szCs w:val="32"/>
        </w:rPr>
        <w:t>产品特点</w:t>
      </w:r>
    </w:p>
    <w:p>
      <w:pPr>
        <w:widowControl/>
        <w:numPr>
          <w:ilvl w:val="0"/>
          <w:numId w:val="1"/>
        </w:numPr>
        <w:spacing w:before="100" w:beforeAutospacing="1" w:after="100" w:afterAutospacing="1"/>
        <w:jc w:val="left"/>
        <w:rPr>
          <w:rFonts w:ascii="宋体" w:hAnsi="宋体" w:cs="宋体"/>
          <w:vanish/>
          <w:kern w:val="0"/>
          <w:sz w:val="24"/>
          <w:szCs w:val="24"/>
        </w:rPr>
      </w:pPr>
      <w:r>
        <w:rPr>
          <w:rFonts w:ascii="宋体" w:hAnsi="宋体" w:cs="宋体"/>
          <w:vanish/>
          <w:kern w:val="0"/>
          <w:sz w:val="24"/>
          <w:szCs w:val="24"/>
        </w:rPr>
        <w:t>应用环境： 办公室</w:t>
      </w:r>
    </w:p>
    <w:p>
      <w:pPr>
        <w:widowControl/>
        <w:numPr>
          <w:ilvl w:val="0"/>
          <w:numId w:val="1"/>
        </w:numPr>
        <w:spacing w:before="100" w:beforeAutospacing="1" w:after="100" w:afterAutospacing="1"/>
        <w:jc w:val="left"/>
        <w:rPr>
          <w:rFonts w:ascii="宋体" w:hAnsi="宋体" w:cs="宋体"/>
          <w:vanish/>
          <w:kern w:val="0"/>
          <w:sz w:val="24"/>
          <w:szCs w:val="24"/>
        </w:rPr>
      </w:pPr>
      <w:r>
        <w:rPr>
          <w:rFonts w:ascii="宋体" w:hAnsi="宋体" w:cs="宋体"/>
          <w:vanish/>
          <w:kern w:val="0"/>
          <w:sz w:val="24"/>
          <w:szCs w:val="24"/>
        </w:rPr>
        <w:t>输入输出： 单进单出</w:t>
      </w:r>
    </w:p>
    <w:p>
      <w:pPr>
        <w:widowControl/>
        <w:numPr>
          <w:ilvl w:val="0"/>
          <w:numId w:val="1"/>
        </w:numPr>
        <w:spacing w:before="100" w:beforeAutospacing="1" w:after="100" w:afterAutospacing="1"/>
        <w:jc w:val="left"/>
        <w:rPr>
          <w:rFonts w:ascii="宋体" w:hAnsi="宋体" w:cs="宋体"/>
          <w:vanish/>
          <w:kern w:val="0"/>
          <w:sz w:val="24"/>
          <w:szCs w:val="24"/>
        </w:rPr>
      </w:pPr>
      <w:r>
        <w:rPr>
          <w:rFonts w:ascii="宋体" w:hAnsi="宋体" w:cs="宋体"/>
          <w:vanish/>
          <w:kern w:val="0"/>
          <w:sz w:val="24"/>
          <w:szCs w:val="24"/>
        </w:rPr>
        <w:t xml:space="preserve">功率： 3KVA以下 </w:t>
      </w:r>
    </w:p>
    <w:p>
      <w:pPr>
        <w:widowControl/>
        <w:numPr>
          <w:numId w:val="0"/>
        </w:numPr>
        <w:jc w:val="left"/>
        <w:rPr>
          <w:rFonts w:hint="eastAsia" w:ascii="宋体" w:hAnsi="宋体" w:cs="宋体"/>
          <w:kern w:val="0"/>
          <w:sz w:val="18"/>
          <w:szCs w:val="18"/>
        </w:rPr>
      </w:pPr>
      <w:bookmarkStart w:id="0" w:name="_GoBack"/>
      <w:bookmarkEnd w:id="0"/>
      <w:r>
        <w:rPr>
          <w:rFonts w:hint="eastAsia" w:ascii="宋体" w:hAnsi="宋体" w:cs="宋体"/>
          <w:kern w:val="0"/>
          <w:sz w:val="20"/>
          <w:szCs w:val="20"/>
        </w:rPr>
        <w:t>1. 三进三出纯在线双变换式产品，</w:t>
      </w:r>
      <w:r>
        <w:rPr>
          <w:rFonts w:hint="eastAsia" w:ascii="宋体" w:hAnsi="宋体" w:cs="宋体"/>
          <w:kern w:val="0"/>
          <w:sz w:val="20"/>
          <w:szCs w:val="20"/>
          <w:lang w:val="en-US" w:eastAsia="zh-CN"/>
        </w:rPr>
        <w:t>完全隔离各类电网污染</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2. </w:t>
      </w:r>
      <w:r>
        <w:rPr>
          <w:rFonts w:hint="eastAsia" w:ascii="宋体" w:hAnsi="宋体" w:cs="宋体"/>
          <w:kern w:val="0"/>
          <w:sz w:val="20"/>
          <w:szCs w:val="20"/>
          <w:lang w:val="en-US" w:eastAsia="zh-CN"/>
        </w:rPr>
        <w:t>N+X并联设计、支持同系列不同型号并机</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3. </w:t>
      </w:r>
      <w:r>
        <w:rPr>
          <w:rFonts w:hint="eastAsia" w:ascii="宋体" w:hAnsi="宋体" w:cs="宋体"/>
          <w:kern w:val="0"/>
          <w:sz w:val="20"/>
          <w:szCs w:val="20"/>
          <w:lang w:val="en-US" w:eastAsia="zh-CN"/>
        </w:rPr>
        <w:t>来电自启、提供自动开机功能、电池放电终止时等市电恢复时会自动开启</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4. </w:t>
      </w:r>
      <w:r>
        <w:rPr>
          <w:rFonts w:hint="eastAsia" w:ascii="宋体" w:hAnsi="宋体" w:cs="宋体"/>
          <w:kern w:val="0"/>
          <w:sz w:val="20"/>
          <w:szCs w:val="20"/>
          <w:lang w:val="en-US" w:eastAsia="zh-CN"/>
        </w:rPr>
        <w:t>LBS同步功能、实现两套独立UPS电源系统同步提高系统可靠性</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5. </w:t>
      </w:r>
      <w:r>
        <w:rPr>
          <w:rFonts w:hint="eastAsia" w:ascii="宋体" w:hAnsi="宋体" w:cs="宋体"/>
          <w:kern w:val="0"/>
          <w:sz w:val="20"/>
          <w:szCs w:val="20"/>
          <w:lang w:val="en-US" w:eastAsia="zh-CN"/>
        </w:rPr>
        <w:t>兼容发电机运行</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6. </w:t>
      </w:r>
      <w:r>
        <w:rPr>
          <w:rFonts w:hint="eastAsia" w:ascii="宋体" w:hAnsi="宋体" w:cs="宋体"/>
          <w:kern w:val="0"/>
          <w:sz w:val="20"/>
          <w:szCs w:val="20"/>
          <w:lang w:val="en-US" w:eastAsia="zh-CN"/>
        </w:rPr>
        <w:t>直流启动功能、可以直接使用电池启动</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7. </w:t>
      </w:r>
      <w:r>
        <w:rPr>
          <w:rFonts w:hint="eastAsia" w:ascii="宋体" w:hAnsi="宋体" w:cs="宋体"/>
          <w:kern w:val="0"/>
          <w:sz w:val="20"/>
          <w:szCs w:val="20"/>
          <w:lang w:val="en-US" w:eastAsia="zh-CN"/>
        </w:rPr>
        <w:t>功率器件准模块化设计、整流和静态开关以及逆变模块等风别设计和独立的散热器上结合钱维护的设计有利于安装和现场维护</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8. </w:t>
      </w:r>
      <w:r>
        <w:rPr>
          <w:rFonts w:hint="eastAsia" w:ascii="宋体" w:hAnsi="宋体" w:cs="宋体"/>
          <w:kern w:val="0"/>
          <w:sz w:val="20"/>
          <w:szCs w:val="20"/>
          <w:lang w:val="en-US" w:eastAsia="zh-CN"/>
        </w:rPr>
        <w:t>过载能力强</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9. </w:t>
      </w:r>
      <w:r>
        <w:rPr>
          <w:rFonts w:hint="eastAsia" w:ascii="宋体" w:hAnsi="宋体" w:cs="宋体"/>
          <w:kern w:val="0"/>
          <w:sz w:val="20"/>
          <w:szCs w:val="20"/>
          <w:lang w:val="en-US" w:eastAsia="zh-CN"/>
        </w:rPr>
        <w:t>灵活的组网监控管理、标配R232/R485通信接口、可选配ANMP/JBUS/MODBUS/干接点卡对UPS进行实时管理</w:t>
      </w:r>
      <w:r>
        <w:rPr>
          <w:rFonts w:hint="eastAsia" w:ascii="宋体" w:hAnsi="宋体" w:cs="宋体"/>
          <w:kern w:val="0"/>
          <w:sz w:val="20"/>
          <w:szCs w:val="20"/>
        </w:rPr>
        <w:t>。</w:t>
      </w:r>
      <w:r>
        <w:rPr>
          <w:rFonts w:hint="eastAsia" w:ascii="宋体" w:hAnsi="宋体" w:cs="宋体"/>
          <w:kern w:val="0"/>
          <w:sz w:val="20"/>
          <w:szCs w:val="20"/>
        </w:rPr>
        <w:br w:type="textWrapping"/>
      </w:r>
    </w:p>
    <w:p>
      <w:pPr>
        <w:widowControl/>
        <w:jc w:val="left"/>
        <w:rPr>
          <w:rFonts w:ascii="黑体" w:hAnsi="黑体" w:eastAsia="黑体" w:cs="宋体"/>
          <w:kern w:val="0"/>
          <w:szCs w:val="21"/>
        </w:rPr>
      </w:pPr>
    </w:p>
    <w:p>
      <w:pPr>
        <w:rPr>
          <w:rFonts w:ascii="黑体" w:hAnsi="黑体" w:eastAsia="黑体"/>
          <w:kern w:val="0"/>
          <w:sz w:val="32"/>
          <w:szCs w:val="32"/>
        </w:rPr>
      </w:pPr>
      <w:r>
        <w:rPr>
          <w:rFonts w:hint="eastAsia" w:ascii="黑体" w:hAnsi="黑体" w:eastAsia="黑体"/>
          <w:kern w:val="0"/>
          <w:sz w:val="32"/>
          <w:szCs w:val="32"/>
        </w:rPr>
        <w:t>技术参数</w:t>
      </w:r>
    </w:p>
    <w:p>
      <w:pPr>
        <w:rPr>
          <w:rFonts w:hint="eastAsia" w:ascii="黑体" w:hAnsi="黑体" w:eastAsia="黑体"/>
          <w:kern w:val="0"/>
          <w:sz w:val="32"/>
          <w:szCs w:val="32"/>
          <w:lang w:eastAsia="zh-CN"/>
        </w:rPr>
      </w:pPr>
      <w:r>
        <w:rPr>
          <w:rFonts w:hint="eastAsia" w:ascii="黑体" w:hAnsi="黑体" w:eastAsia="黑体"/>
          <w:kern w:val="0"/>
          <w:sz w:val="32"/>
          <w:szCs w:val="32"/>
          <w:lang w:eastAsia="zh-CN"/>
        </w:rPr>
        <w:drawing>
          <wp:inline distT="0" distB="0" distL="114300" distR="114300">
            <wp:extent cx="6185535" cy="8112125"/>
            <wp:effectExtent l="0" t="0" r="5715" b="3175"/>
            <wp:docPr id="4" name="图片 4" descr="ABUIABACGAAgxvnO7QUoyNzc7QQwzAU4q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BUIABACGAAgxvnO7QUoyNzc7QQwzAU4qwc"/>
                    <pic:cNvPicPr>
                      <a:picLocks noChangeAspect="1"/>
                    </pic:cNvPicPr>
                  </pic:nvPicPr>
                  <pic:blipFill>
                    <a:blip r:embed="rId6"/>
                    <a:stretch>
                      <a:fillRect/>
                    </a:stretch>
                  </pic:blipFill>
                  <pic:spPr>
                    <a:xfrm>
                      <a:off x="0" y="0"/>
                      <a:ext cx="6185535" cy="8112125"/>
                    </a:xfrm>
                    <a:prstGeom prst="rect">
                      <a:avLst/>
                    </a:prstGeom>
                  </pic:spPr>
                </pic:pic>
              </a:graphicData>
            </a:graphic>
          </wp:inline>
        </w:drawing>
      </w:r>
    </w:p>
    <w:sectPr>
      <w:headerReference r:id="rId3" w:type="default"/>
      <w:pgSz w:w="11906" w:h="16838"/>
      <w:pgMar w:top="1440" w:right="1080" w:bottom="1440" w:left="1080" w:header="283"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CF3C52" w:usb2="00000016" w:usb3="00000000" w:csb0="0004001F" w:csb1="00000000"/>
  </w:font>
  <w:font w:name="华文行楷">
    <w:panose1 w:val="02010800040101010101"/>
    <w:charset w:val="86"/>
    <w:family w:val="auto"/>
    <w:pitch w:val="default"/>
    <w:sig w:usb0="00000001" w:usb1="080F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908685" cy="30861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08685" cy="308610"/>
                  </a:xfrm>
                  <a:prstGeom prst="rect">
                    <a:avLst/>
                  </a:prstGeom>
                  <a:noFill/>
                  <a:ln>
                    <a:noFill/>
                  </a:ln>
                </pic:spPr>
              </pic:pic>
            </a:graphicData>
          </a:graphic>
        </wp:inline>
      </w:drawing>
    </w:r>
    <w:r>
      <w:rPr>
        <w:rFonts w:hint="eastAsia" w:ascii="华文行楷" w:eastAsia="华文行楷"/>
      </w:rPr>
      <w:t xml:space="preserve">专业解决电源问题，提供一站式电源解决方案 </w:t>
    </w:r>
    <w:r>
      <w:rPr>
        <w:rFonts w:ascii="华文行楷" w:eastAsia="华文行楷"/>
      </w:rPr>
      <w:t xml:space="preserve"> </w:t>
    </w:r>
    <w:r>
      <w:rPr>
        <w:rFonts w:hint="eastAsia"/>
      </w:rPr>
      <w:t>400-775-7578   www.hideaups.com</w:t>
    </w:r>
    <w:r>
      <w:t xml:space="preserve"> </w:t>
    </w:r>
    <w:r>
      <w:drawing>
        <wp:inline distT="0" distB="0" distL="0" distR="0">
          <wp:extent cx="583565" cy="583565"/>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flipV="1">
                    <a:off x="0" y="0"/>
                    <a:ext cx="583565" cy="583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59C"/>
    <w:multiLevelType w:val="multilevel"/>
    <w:tmpl w:val="0791659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B8"/>
    <w:rsid w:val="00003C09"/>
    <w:rsid w:val="00012E44"/>
    <w:rsid w:val="00096C6C"/>
    <w:rsid w:val="00101D89"/>
    <w:rsid w:val="001023BA"/>
    <w:rsid w:val="00181453"/>
    <w:rsid w:val="001A0D4D"/>
    <w:rsid w:val="001B1994"/>
    <w:rsid w:val="001C6F64"/>
    <w:rsid w:val="001D0C0C"/>
    <w:rsid w:val="001F2F33"/>
    <w:rsid w:val="00207F8C"/>
    <w:rsid w:val="00243B7F"/>
    <w:rsid w:val="00253C71"/>
    <w:rsid w:val="00262EF4"/>
    <w:rsid w:val="0029341B"/>
    <w:rsid w:val="00297715"/>
    <w:rsid w:val="002B1B24"/>
    <w:rsid w:val="002B777C"/>
    <w:rsid w:val="002F1DC3"/>
    <w:rsid w:val="003310A0"/>
    <w:rsid w:val="00335C91"/>
    <w:rsid w:val="00445CCB"/>
    <w:rsid w:val="00452F57"/>
    <w:rsid w:val="00465181"/>
    <w:rsid w:val="00473C1A"/>
    <w:rsid w:val="004E76E7"/>
    <w:rsid w:val="0056521A"/>
    <w:rsid w:val="005C52D9"/>
    <w:rsid w:val="005D00BC"/>
    <w:rsid w:val="005F3219"/>
    <w:rsid w:val="00600D5E"/>
    <w:rsid w:val="00601C36"/>
    <w:rsid w:val="00606B40"/>
    <w:rsid w:val="00645B8D"/>
    <w:rsid w:val="00650FAA"/>
    <w:rsid w:val="00685CB8"/>
    <w:rsid w:val="006863D9"/>
    <w:rsid w:val="006A3A22"/>
    <w:rsid w:val="00701837"/>
    <w:rsid w:val="00720F51"/>
    <w:rsid w:val="00723506"/>
    <w:rsid w:val="00731E26"/>
    <w:rsid w:val="00751AEC"/>
    <w:rsid w:val="00764A06"/>
    <w:rsid w:val="00771573"/>
    <w:rsid w:val="007B07BB"/>
    <w:rsid w:val="00805B16"/>
    <w:rsid w:val="00811EE2"/>
    <w:rsid w:val="00824A0A"/>
    <w:rsid w:val="008275AF"/>
    <w:rsid w:val="00833027"/>
    <w:rsid w:val="008B414B"/>
    <w:rsid w:val="008B5871"/>
    <w:rsid w:val="008B7DD6"/>
    <w:rsid w:val="008C064F"/>
    <w:rsid w:val="008D2273"/>
    <w:rsid w:val="00906EF3"/>
    <w:rsid w:val="00923B5B"/>
    <w:rsid w:val="0095639B"/>
    <w:rsid w:val="00973E66"/>
    <w:rsid w:val="0098649C"/>
    <w:rsid w:val="009865A6"/>
    <w:rsid w:val="00993E6C"/>
    <w:rsid w:val="009C712D"/>
    <w:rsid w:val="00A41162"/>
    <w:rsid w:val="00A43714"/>
    <w:rsid w:val="00AB602D"/>
    <w:rsid w:val="00AC4BA9"/>
    <w:rsid w:val="00B14B40"/>
    <w:rsid w:val="00B40704"/>
    <w:rsid w:val="00B6268A"/>
    <w:rsid w:val="00B91600"/>
    <w:rsid w:val="00BA0963"/>
    <w:rsid w:val="00BC5AE9"/>
    <w:rsid w:val="00BD19AD"/>
    <w:rsid w:val="00C520F2"/>
    <w:rsid w:val="00C55852"/>
    <w:rsid w:val="00C56593"/>
    <w:rsid w:val="00CB00D1"/>
    <w:rsid w:val="00CC7ED1"/>
    <w:rsid w:val="00CD3245"/>
    <w:rsid w:val="00CE71E3"/>
    <w:rsid w:val="00D47D6D"/>
    <w:rsid w:val="00D8052F"/>
    <w:rsid w:val="00D80E07"/>
    <w:rsid w:val="00DB61E1"/>
    <w:rsid w:val="00DD60D6"/>
    <w:rsid w:val="00DE6E12"/>
    <w:rsid w:val="00DF21E3"/>
    <w:rsid w:val="00E01234"/>
    <w:rsid w:val="00E136A0"/>
    <w:rsid w:val="00E25495"/>
    <w:rsid w:val="00E33C59"/>
    <w:rsid w:val="00E54F5D"/>
    <w:rsid w:val="00E56E18"/>
    <w:rsid w:val="00E84059"/>
    <w:rsid w:val="00EA0091"/>
    <w:rsid w:val="00EA6728"/>
    <w:rsid w:val="00ED3C6B"/>
    <w:rsid w:val="00EF2522"/>
    <w:rsid w:val="00EF3B76"/>
    <w:rsid w:val="00EF3FC5"/>
    <w:rsid w:val="00EF6EE7"/>
    <w:rsid w:val="00F670BF"/>
    <w:rsid w:val="00F8179B"/>
    <w:rsid w:val="00F975FF"/>
    <w:rsid w:val="00FE4958"/>
    <w:rsid w:val="0EC44177"/>
    <w:rsid w:val="5F577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9"/>
    <w:qFormat/>
    <w:uiPriority w:val="11"/>
    <w:pPr>
      <w:spacing w:before="240" w:after="60" w:line="312" w:lineRule="auto"/>
      <w:jc w:val="center"/>
      <w:outlineLvl w:val="1"/>
    </w:pPr>
    <w:rPr>
      <w:rFonts w:ascii="Cambria" w:hAnsi="Cambria"/>
      <w:b/>
      <w:bCs/>
      <w:kern w:val="28"/>
      <w:sz w:val="32"/>
      <w:szCs w:val="32"/>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link w:val="18"/>
    <w:qFormat/>
    <w:uiPriority w:val="10"/>
    <w:pPr>
      <w:spacing w:before="240" w:after="60"/>
      <w:jc w:val="center"/>
      <w:outlineLvl w:val="0"/>
    </w:pPr>
    <w:rPr>
      <w:rFonts w:ascii="Cambria" w:hAnsi="Cambria"/>
      <w:b/>
      <w:bCs/>
      <w:sz w:val="32"/>
      <w:szCs w:val="32"/>
    </w:rPr>
  </w:style>
  <w:style w:type="character" w:styleId="12">
    <w:name w:val="Strong"/>
    <w:qFormat/>
    <w:uiPriority w:val="22"/>
    <w:rPr>
      <w:b/>
      <w:bCs/>
    </w:rPr>
  </w:style>
  <w:style w:type="character" w:styleId="13">
    <w:name w:val="Hyperlink"/>
    <w:unhideWhenUsed/>
    <w:uiPriority w:val="99"/>
    <w:rPr>
      <w:color w:val="0000FF"/>
      <w:u w:val="single"/>
    </w:rPr>
  </w:style>
  <w:style w:type="character" w:customStyle="1" w:styleId="14">
    <w:name w:val="页眉 字符1"/>
    <w:link w:val="6"/>
    <w:uiPriority w:val="99"/>
    <w:rPr>
      <w:sz w:val="18"/>
      <w:szCs w:val="18"/>
    </w:rPr>
  </w:style>
  <w:style w:type="character" w:customStyle="1" w:styleId="15">
    <w:name w:val="页脚 字符"/>
    <w:link w:val="5"/>
    <w:uiPriority w:val="99"/>
    <w:rPr>
      <w:sz w:val="18"/>
      <w:szCs w:val="18"/>
    </w:rPr>
  </w:style>
  <w:style w:type="paragraph" w:customStyle="1" w:styleId="16">
    <w:name w:val="pre_title"/>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7">
    <w:name w:val="批注框文本 字符"/>
    <w:link w:val="4"/>
    <w:semiHidden/>
    <w:uiPriority w:val="99"/>
    <w:rPr>
      <w:sz w:val="18"/>
      <w:szCs w:val="18"/>
    </w:rPr>
  </w:style>
  <w:style w:type="character" w:customStyle="1" w:styleId="18">
    <w:name w:val="标题 字符"/>
    <w:link w:val="9"/>
    <w:uiPriority w:val="10"/>
    <w:rPr>
      <w:rFonts w:ascii="Cambria" w:hAnsi="Cambria" w:eastAsia="宋体" w:cs="Times New Roman"/>
      <w:b/>
      <w:bCs/>
      <w:sz w:val="32"/>
      <w:szCs w:val="32"/>
    </w:rPr>
  </w:style>
  <w:style w:type="character" w:customStyle="1" w:styleId="19">
    <w:name w:val="副标题 字符"/>
    <w:link w:val="7"/>
    <w:uiPriority w:val="11"/>
    <w:rPr>
      <w:rFonts w:ascii="Cambria" w:hAnsi="Cambria" w:eastAsia="宋体" w:cs="Times New Roman"/>
      <w:b/>
      <w:bCs/>
      <w:kern w:val="28"/>
      <w:sz w:val="32"/>
      <w:szCs w:val="32"/>
    </w:rPr>
  </w:style>
  <w:style w:type="character" w:customStyle="1" w:styleId="20">
    <w:name w:val="标题 1 字符"/>
    <w:link w:val="2"/>
    <w:uiPriority w:val="9"/>
    <w:rPr>
      <w:b/>
      <w:bCs/>
      <w:kern w:val="44"/>
      <w:sz w:val="44"/>
      <w:szCs w:val="44"/>
    </w:rPr>
  </w:style>
  <w:style w:type="character" w:customStyle="1" w:styleId="21">
    <w:name w:val="标题 2 字符"/>
    <w:link w:val="3"/>
    <w:uiPriority w:val="9"/>
    <w:rPr>
      <w:rFonts w:ascii="Cambria" w:hAnsi="Cambria" w:eastAsia="宋体" w:cs="Times New Roman"/>
      <w:b/>
      <w:bCs/>
      <w:sz w:val="32"/>
      <w:szCs w:val="32"/>
    </w:rPr>
  </w:style>
  <w:style w:type="paragraph" w:customStyle="1" w:styleId="22">
    <w:name w:val="表头文字"/>
    <w:basedOn w:val="1"/>
    <w:uiPriority w:val="0"/>
    <w:pPr>
      <w:widowControl/>
      <w:spacing w:line="300" w:lineRule="atLeast"/>
      <w:jc w:val="center"/>
    </w:pPr>
    <w:rPr>
      <w:rFonts w:ascii="Times New Roman" w:hAnsi="Times New Roman"/>
      <w:sz w:val="18"/>
      <w:szCs w:val="20"/>
    </w:rPr>
  </w:style>
  <w:style w:type="paragraph" w:customStyle="1" w:styleId="23">
    <w:name w:val="表格内文字"/>
    <w:basedOn w:val="1"/>
    <w:uiPriority w:val="0"/>
    <w:pPr>
      <w:widowControl/>
      <w:spacing w:line="300" w:lineRule="atLeast"/>
      <w:ind w:left="60" w:leftChars="-10" w:hanging="81" w:hangingChars="45"/>
      <w:jc w:val="center"/>
    </w:pPr>
    <w:rPr>
      <w:rFonts w:ascii="Arial" w:hAnsi="Arial" w:cs="Arial"/>
      <w:bCs/>
      <w:kern w:val="0"/>
      <w:sz w:val="18"/>
      <w:szCs w:val="18"/>
    </w:rPr>
  </w:style>
  <w:style w:type="character" w:customStyle="1" w:styleId="24">
    <w:name w:val="页眉 字符"/>
    <w:uiPriority w:val="99"/>
    <w:rPr>
      <w:sz w:val="18"/>
      <w:szCs w:val="18"/>
    </w:rPr>
  </w:style>
  <w:style w:type="paragraph" w:styleId="25">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F14110-E24D-4F09-82FA-69BC9316F011}">
  <ds:schemaRefs/>
</ds:datastoreItem>
</file>

<file path=docProps/app.xml><?xml version="1.0" encoding="utf-8"?>
<Properties xmlns="http://schemas.openxmlformats.org/officeDocument/2006/extended-properties" xmlns:vt="http://schemas.openxmlformats.org/officeDocument/2006/docPropsVTypes">
  <Template>Normal</Template>
  <Pages>3</Pages>
  <Words>277</Words>
  <Characters>1582</Characters>
  <Lines>13</Lines>
  <Paragraphs>3</Paragraphs>
  <TotalTime>42</TotalTime>
  <ScaleCrop>false</ScaleCrop>
  <LinksUpToDate>false</LinksUpToDate>
  <CharactersWithSpaces>1856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2019-10-15T07:04:00Z</dcterms:created>
  <dc:creator>tian</dc:creator>
  <cp:lastModifiedBy>美工赵帅</cp:lastModifiedBy>
  <dcterms:modified xsi:type="dcterms:W3CDTF">2020-10-14T09:42:27Z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